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FB49B0" w14:textId="77777777" w:rsidR="00806DCA" w:rsidRPr="00F41BE3" w:rsidRDefault="00806DCA" w:rsidP="00806DCA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F41BE3">
        <w:rPr>
          <w:rFonts w:ascii="Times New Roman" w:hAnsi="Times New Roman" w:cs="Times New Roman"/>
        </w:rPr>
        <w:t>Паспорт</w:t>
      </w:r>
    </w:p>
    <w:p w14:paraId="7446D8D9" w14:textId="77777777" w:rsidR="00806DCA" w:rsidRPr="00F41BE3" w:rsidRDefault="00806DCA" w:rsidP="00806DCA">
      <w:pPr>
        <w:pStyle w:val="ConsPlusTitle"/>
        <w:jc w:val="center"/>
        <w:rPr>
          <w:rFonts w:ascii="Times New Roman" w:hAnsi="Times New Roman" w:cs="Times New Roman"/>
        </w:rPr>
      </w:pPr>
      <w:r w:rsidRPr="00F41BE3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14:paraId="5CF9FCF5" w14:textId="480F4E7E" w:rsidR="00806DCA" w:rsidRPr="00F41BE3" w:rsidRDefault="00806DCA" w:rsidP="00806DCA">
      <w:pPr>
        <w:pStyle w:val="ConsPlusTitle"/>
        <w:jc w:val="center"/>
        <w:rPr>
          <w:rFonts w:ascii="Times New Roman" w:hAnsi="Times New Roman" w:cs="Times New Roman"/>
        </w:rPr>
      </w:pPr>
      <w:r w:rsidRPr="00F41BE3">
        <w:rPr>
          <w:rFonts w:ascii="Times New Roman" w:hAnsi="Times New Roman" w:cs="Times New Roman"/>
        </w:rPr>
        <w:t>округа - Югры «Развитие физической культуры и спорта»</w:t>
      </w:r>
    </w:p>
    <w:p w14:paraId="7D6A3438" w14:textId="77777777" w:rsidR="00806DCA" w:rsidRPr="00F41BE3" w:rsidRDefault="00806DCA" w:rsidP="00806DCA">
      <w:pPr>
        <w:pStyle w:val="ConsPlusTitle"/>
        <w:jc w:val="center"/>
        <w:rPr>
          <w:rFonts w:ascii="Times New Roman" w:hAnsi="Times New Roman" w:cs="Times New Roman"/>
        </w:rPr>
      </w:pPr>
      <w:r w:rsidRPr="00F41BE3">
        <w:rPr>
          <w:rFonts w:ascii="Times New Roman" w:hAnsi="Times New Roman" w:cs="Times New Roman"/>
        </w:rPr>
        <w:t>(далее - государственная программа)</w:t>
      </w:r>
    </w:p>
    <w:p w14:paraId="6E6233CA" w14:textId="77777777" w:rsidR="00806DCA" w:rsidRPr="00F41BE3" w:rsidRDefault="00806DCA" w:rsidP="00806DCA">
      <w:pPr>
        <w:pStyle w:val="ConsPlusNormal"/>
        <w:jc w:val="both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37"/>
        <w:gridCol w:w="7145"/>
      </w:tblGrid>
      <w:tr w:rsidR="00F41BE3" w:rsidRPr="00F41BE3" w14:paraId="6D26F1D1" w14:textId="77777777" w:rsidTr="00241CF0">
        <w:tc>
          <w:tcPr>
            <w:tcW w:w="2637" w:type="dxa"/>
          </w:tcPr>
          <w:p w14:paraId="4869B881" w14:textId="77777777" w:rsidR="00806DCA" w:rsidRPr="00F41BE3" w:rsidRDefault="00806DCA" w:rsidP="00F41BE3">
            <w:pPr>
              <w:pStyle w:val="ConsPlusNormal"/>
              <w:jc w:val="center"/>
            </w:pPr>
            <w:r w:rsidRPr="00F41BE3">
              <w:t>Наименование государственной программы</w:t>
            </w:r>
          </w:p>
        </w:tc>
        <w:tc>
          <w:tcPr>
            <w:tcW w:w="7145" w:type="dxa"/>
          </w:tcPr>
          <w:p w14:paraId="1AD80AE7" w14:textId="77777777" w:rsidR="00806DCA" w:rsidRPr="00F41BE3" w:rsidRDefault="00806DCA" w:rsidP="00F41BE3">
            <w:pPr>
              <w:pStyle w:val="ConsPlusNormal"/>
              <w:jc w:val="center"/>
            </w:pPr>
            <w:r w:rsidRPr="00F41BE3">
              <w:t>Развитие физической культуры и спорта</w:t>
            </w:r>
          </w:p>
        </w:tc>
      </w:tr>
      <w:tr w:rsidR="00F41BE3" w:rsidRPr="00F41BE3" w14:paraId="7916302F" w14:textId="77777777" w:rsidTr="00241CF0">
        <w:tc>
          <w:tcPr>
            <w:tcW w:w="2637" w:type="dxa"/>
          </w:tcPr>
          <w:p w14:paraId="0A17DE15" w14:textId="77777777" w:rsidR="00806DCA" w:rsidRPr="00F41BE3" w:rsidRDefault="00806DCA" w:rsidP="00F337D5">
            <w:pPr>
              <w:pStyle w:val="ConsPlusNormal"/>
            </w:pPr>
            <w:r w:rsidRPr="00F41BE3">
              <w:t>Дата утверждения государственной программы (наименование и номер соответствующего нормативно-правового акта)</w:t>
            </w:r>
          </w:p>
        </w:tc>
        <w:tc>
          <w:tcPr>
            <w:tcW w:w="7145" w:type="dxa"/>
          </w:tcPr>
          <w:p w14:paraId="50AF888B" w14:textId="02F96F8B" w:rsidR="00806DCA" w:rsidRPr="00F41BE3" w:rsidRDefault="00806DCA" w:rsidP="00F337D5">
            <w:pPr>
              <w:pStyle w:val="ConsPlusNormal"/>
              <w:jc w:val="both"/>
            </w:pPr>
            <w:r w:rsidRPr="00F41BE3">
              <w:t>постановление Правительства Ханты-Мансийского автономного округа - Югры от 5 октября 2018 года № 342-п «О государственной программе Ханты-Мансийского автономного округа – Югры «Развитие физической культуры и спорта»</w:t>
            </w:r>
          </w:p>
        </w:tc>
      </w:tr>
      <w:tr w:rsidR="00F41BE3" w:rsidRPr="00F41BE3" w14:paraId="57CBD11B" w14:textId="77777777" w:rsidTr="00241CF0">
        <w:tc>
          <w:tcPr>
            <w:tcW w:w="2637" w:type="dxa"/>
          </w:tcPr>
          <w:p w14:paraId="6343664B" w14:textId="77777777" w:rsidR="00806DCA" w:rsidRPr="00F41BE3" w:rsidRDefault="00806DCA" w:rsidP="00F337D5">
            <w:pPr>
              <w:pStyle w:val="ConsPlusNormal"/>
            </w:pPr>
            <w:r w:rsidRPr="00F41BE3">
              <w:t>Ответственный исполнитель государственной программы</w:t>
            </w:r>
          </w:p>
        </w:tc>
        <w:tc>
          <w:tcPr>
            <w:tcW w:w="7145" w:type="dxa"/>
          </w:tcPr>
          <w:p w14:paraId="2BB848C1" w14:textId="77777777" w:rsidR="00806DCA" w:rsidRPr="00F41BE3" w:rsidRDefault="00806DCA" w:rsidP="00F337D5">
            <w:pPr>
              <w:pStyle w:val="ConsPlusNormal"/>
              <w:jc w:val="both"/>
            </w:pPr>
            <w:r w:rsidRPr="00F41BE3">
              <w:t xml:space="preserve">Департамент физической культуры и спорта Ханты-Мансийского автономного округа - Югры (далее также - </w:t>
            </w:r>
            <w:proofErr w:type="spellStart"/>
            <w:r w:rsidRPr="00F41BE3">
              <w:t>Депспорт</w:t>
            </w:r>
            <w:proofErr w:type="spellEnd"/>
            <w:r w:rsidRPr="00F41BE3">
              <w:t xml:space="preserve"> Югры, Югра</w:t>
            </w:r>
            <w:r w:rsidRPr="00F41BE3">
              <w:rPr>
                <w:b/>
              </w:rPr>
              <w:t xml:space="preserve">, </w:t>
            </w:r>
            <w:r w:rsidRPr="00F41BE3">
              <w:t>автономный округ)</w:t>
            </w:r>
          </w:p>
        </w:tc>
      </w:tr>
      <w:tr w:rsidR="00F41BE3" w:rsidRPr="00F41BE3" w14:paraId="65A8496C" w14:textId="77777777" w:rsidTr="00241CF0">
        <w:tc>
          <w:tcPr>
            <w:tcW w:w="2637" w:type="dxa"/>
          </w:tcPr>
          <w:p w14:paraId="4121CD1A" w14:textId="77777777" w:rsidR="00806DCA" w:rsidRPr="00F41BE3" w:rsidRDefault="00806DCA" w:rsidP="00F337D5">
            <w:pPr>
              <w:pStyle w:val="ConsPlusNormal"/>
            </w:pPr>
            <w:r w:rsidRPr="00F41BE3">
              <w:t>Соисполнители государственной программы</w:t>
            </w:r>
          </w:p>
        </w:tc>
        <w:tc>
          <w:tcPr>
            <w:tcW w:w="7145" w:type="dxa"/>
          </w:tcPr>
          <w:p w14:paraId="48C6458C" w14:textId="266A1F81" w:rsidR="00806DCA" w:rsidRPr="00F41BE3" w:rsidRDefault="00806DCA" w:rsidP="00F337D5">
            <w:pPr>
              <w:pStyle w:val="ConsPlusNormal"/>
              <w:jc w:val="both"/>
            </w:pPr>
            <w:r w:rsidRPr="00F41BE3">
              <w:t xml:space="preserve">Департамент строительства Ханты-Мансийского автономного округа – Югры (далее - </w:t>
            </w:r>
            <w:proofErr w:type="spellStart"/>
            <w:r w:rsidRPr="00F41BE3">
              <w:t>Депстрой</w:t>
            </w:r>
            <w:proofErr w:type="spellEnd"/>
            <w:r w:rsidRPr="00F41BE3">
              <w:t xml:space="preserve"> Югры),</w:t>
            </w:r>
          </w:p>
          <w:p w14:paraId="7966E34C" w14:textId="59E78EA6" w:rsidR="00806DCA" w:rsidRPr="00F41BE3" w:rsidRDefault="00806DCA" w:rsidP="00F337D5">
            <w:pPr>
              <w:pStyle w:val="ConsPlusNormal"/>
              <w:jc w:val="both"/>
            </w:pPr>
            <w:r w:rsidRPr="00F41BE3">
              <w:t xml:space="preserve">Департамент информационных технологий Ханты-Мансийского автономного округа – Югры (далее - </w:t>
            </w:r>
            <w:proofErr w:type="spellStart"/>
            <w:r w:rsidRPr="00F41BE3">
              <w:t>Депинформтехнологий</w:t>
            </w:r>
            <w:proofErr w:type="spellEnd"/>
            <w:r w:rsidRPr="00F41BE3">
              <w:t xml:space="preserve"> Югры),</w:t>
            </w:r>
          </w:p>
          <w:p w14:paraId="7B2AD9D6" w14:textId="77777777" w:rsidR="00806DCA" w:rsidRPr="00F41BE3" w:rsidRDefault="00806DCA" w:rsidP="00F337D5">
            <w:pPr>
              <w:pStyle w:val="ConsPlusNormal"/>
              <w:jc w:val="both"/>
            </w:pPr>
            <w:r w:rsidRPr="00F41BE3">
              <w:t>Аппарат Губернатора Ханты-Мансийского автономного округа - Югры (далее - Аппарат Губернатора автономного округа),</w:t>
            </w:r>
          </w:p>
          <w:p w14:paraId="35F3D111" w14:textId="0A3FB992" w:rsidR="00806DCA" w:rsidRPr="00F41BE3" w:rsidRDefault="00806DCA" w:rsidP="00F337D5">
            <w:pPr>
              <w:pStyle w:val="ConsPlusNormal"/>
              <w:jc w:val="both"/>
            </w:pPr>
            <w:r w:rsidRPr="00F41BE3">
              <w:t xml:space="preserve">Департамент промышленности Ханты-Мансийского автономного округа – Югры (далее - </w:t>
            </w:r>
            <w:proofErr w:type="spellStart"/>
            <w:r w:rsidRPr="00F41BE3">
              <w:t>Деппромышленности</w:t>
            </w:r>
            <w:proofErr w:type="spellEnd"/>
            <w:r w:rsidRPr="00F41BE3">
              <w:t xml:space="preserve"> Югры)</w:t>
            </w:r>
          </w:p>
        </w:tc>
      </w:tr>
      <w:tr w:rsidR="00F41BE3" w:rsidRPr="00F41BE3" w14:paraId="54BE4BAF" w14:textId="77777777" w:rsidTr="00241CF0">
        <w:tc>
          <w:tcPr>
            <w:tcW w:w="2637" w:type="dxa"/>
          </w:tcPr>
          <w:p w14:paraId="4975E0B9" w14:textId="77777777" w:rsidR="00806DCA" w:rsidRPr="00F41BE3" w:rsidRDefault="00806DCA" w:rsidP="00F337D5">
            <w:pPr>
              <w:pStyle w:val="ConsPlusNormal"/>
            </w:pPr>
            <w:r w:rsidRPr="00F41BE3">
              <w:t>Цели государственной программы</w:t>
            </w:r>
          </w:p>
        </w:tc>
        <w:tc>
          <w:tcPr>
            <w:tcW w:w="7145" w:type="dxa"/>
          </w:tcPr>
          <w:p w14:paraId="4A3B01BB" w14:textId="77777777" w:rsidR="00806DCA" w:rsidRPr="00F41BE3" w:rsidRDefault="00806DCA" w:rsidP="00F337D5">
            <w:pPr>
              <w:pStyle w:val="ConsPlusNormal"/>
              <w:jc w:val="both"/>
            </w:pPr>
            <w:r w:rsidRPr="00F41BE3">
              <w:t>создание условий, обеспечивающих гражданам Югры возможность для систематических занятий физической культурой и спортом; обеспечение конкурентоспособности югорских спортсменов на российской и международной спортивной арене</w:t>
            </w:r>
          </w:p>
        </w:tc>
      </w:tr>
      <w:tr w:rsidR="00F41BE3" w:rsidRPr="00F41BE3" w14:paraId="4802AEB7" w14:textId="77777777" w:rsidTr="00241CF0">
        <w:tc>
          <w:tcPr>
            <w:tcW w:w="2637" w:type="dxa"/>
          </w:tcPr>
          <w:p w14:paraId="236A4FDE" w14:textId="77777777" w:rsidR="00806DCA" w:rsidRPr="00F41BE3" w:rsidRDefault="00806DCA" w:rsidP="00F337D5">
            <w:pPr>
              <w:pStyle w:val="ConsPlusNormal"/>
            </w:pPr>
            <w:r w:rsidRPr="00F41BE3">
              <w:t>Задачи государственной программы</w:t>
            </w:r>
          </w:p>
        </w:tc>
        <w:tc>
          <w:tcPr>
            <w:tcW w:w="7145" w:type="dxa"/>
          </w:tcPr>
          <w:p w14:paraId="4086C294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1. Повышение мотивации всех возрастных категорий и социальных групп граждан к регулярным занятиям физической культурой и массовым спортом.</w:t>
            </w:r>
          </w:p>
          <w:p w14:paraId="0CE373D2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2. Обеспечение доступа жителям Югры к современной спортивной инфраструктуре.</w:t>
            </w:r>
          </w:p>
          <w:p w14:paraId="0CDF00C8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3. Повышение доступности и качества спортивной подготовки детей и обеспечение прогресса спортивного резерва. Развитие детско-юношеского спорта.</w:t>
            </w:r>
          </w:p>
          <w:p w14:paraId="622DA2B0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4. Создание условий для успешного выступления спортсменов Югры на всероссийских и международных соревнованиях.</w:t>
            </w:r>
          </w:p>
          <w:p w14:paraId="0BC73652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5. Популяризация спорта.</w:t>
            </w:r>
          </w:p>
          <w:p w14:paraId="747BAF58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6. Обеспечение оптимизации деятельности Депспорта Югры, подведомственных ему учреждений и повышение эффективности бюджетных расходов</w:t>
            </w:r>
          </w:p>
        </w:tc>
      </w:tr>
      <w:tr w:rsidR="00F41BE3" w:rsidRPr="00F41BE3" w14:paraId="3B5B4A05" w14:textId="77777777" w:rsidTr="00241CF0">
        <w:tc>
          <w:tcPr>
            <w:tcW w:w="2637" w:type="dxa"/>
          </w:tcPr>
          <w:p w14:paraId="29F5841D" w14:textId="77777777" w:rsidR="00806DCA" w:rsidRPr="00F41BE3" w:rsidRDefault="00806DCA" w:rsidP="00F337D5">
            <w:pPr>
              <w:pStyle w:val="ConsPlusNormal"/>
            </w:pPr>
            <w:r w:rsidRPr="00F41BE3">
              <w:lastRenderedPageBreak/>
              <w:t>Подпрограммы</w:t>
            </w:r>
          </w:p>
        </w:tc>
        <w:tc>
          <w:tcPr>
            <w:tcW w:w="7145" w:type="dxa"/>
          </w:tcPr>
          <w:p w14:paraId="4ADA1A03" w14:textId="77777777" w:rsidR="00806DCA" w:rsidRPr="00F41BE3" w:rsidRDefault="00EA77C3" w:rsidP="00F337D5">
            <w:pPr>
              <w:pStyle w:val="ConsPlusNormal"/>
              <w:ind w:firstLine="283"/>
              <w:jc w:val="both"/>
            </w:pPr>
            <w:hyperlink w:anchor="Par433" w:tooltip="Подпрограмма I &quot;Развитие физической культуры и массового спорта&quot;" w:history="1">
              <w:r w:rsidR="00806DCA" w:rsidRPr="00F41BE3">
                <w:t>Подпрограмма I</w:t>
              </w:r>
            </w:hyperlink>
            <w:r w:rsidR="00806DCA" w:rsidRPr="00F41BE3">
              <w:t>. Развитие физической культуры и массового спорта.</w:t>
            </w:r>
          </w:p>
          <w:p w14:paraId="2C24B7E3" w14:textId="77777777" w:rsidR="00806DCA" w:rsidRPr="00F41BE3" w:rsidRDefault="00EA77C3" w:rsidP="00F337D5">
            <w:pPr>
              <w:pStyle w:val="ConsPlusNormal"/>
              <w:ind w:firstLine="283"/>
              <w:jc w:val="both"/>
            </w:pPr>
            <w:hyperlink w:anchor="Par746" w:tooltip="Подпрограмма II &quot;Развитие спорта высших достижений и системы подготовки спортивного резерва&quot;" w:history="1">
              <w:r w:rsidR="00806DCA" w:rsidRPr="00F41BE3">
                <w:t>Подпрограмма II</w:t>
              </w:r>
            </w:hyperlink>
            <w:r w:rsidR="00806DCA" w:rsidRPr="00F41BE3">
              <w:t>. Развитие спорта высших достижений и системы подготовки спортивного резерва.</w:t>
            </w:r>
          </w:p>
          <w:p w14:paraId="17AF4E4B" w14:textId="77777777" w:rsidR="00806DCA" w:rsidRPr="00F41BE3" w:rsidRDefault="00EA77C3" w:rsidP="00F337D5">
            <w:pPr>
              <w:pStyle w:val="ConsPlusNormal"/>
              <w:ind w:firstLine="283"/>
              <w:jc w:val="both"/>
            </w:pPr>
            <w:hyperlink w:anchor="Par1143" w:tooltip="Подпрограмма III &quot;Управление развитием отрасли физической культуры и спорта&quot;" w:history="1">
              <w:r w:rsidR="00806DCA" w:rsidRPr="00F41BE3">
                <w:t>Подпрограмма III</w:t>
              </w:r>
            </w:hyperlink>
            <w:r w:rsidR="00806DCA" w:rsidRPr="00F41BE3">
              <w:t>. Управление развитием отрасли физической культуры и спорта</w:t>
            </w:r>
          </w:p>
        </w:tc>
      </w:tr>
      <w:tr w:rsidR="00F41BE3" w:rsidRPr="00F41BE3" w14:paraId="55CEEE22" w14:textId="77777777" w:rsidTr="00241CF0">
        <w:tc>
          <w:tcPr>
            <w:tcW w:w="2637" w:type="dxa"/>
          </w:tcPr>
          <w:p w14:paraId="38337330" w14:textId="77777777" w:rsidR="00806DCA" w:rsidRPr="00F41BE3" w:rsidRDefault="00806DCA" w:rsidP="00F337D5">
            <w:pPr>
              <w:pStyle w:val="ConsPlusNormal"/>
            </w:pPr>
            <w:r w:rsidRPr="00F41BE3"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145" w:type="dxa"/>
          </w:tcPr>
          <w:p w14:paraId="28D6DC52" w14:textId="4E94D879" w:rsidR="00806DCA" w:rsidRPr="00F41BE3" w:rsidRDefault="00806DCA" w:rsidP="00F337D5">
            <w:pPr>
              <w:pStyle w:val="ConsPlusNormal"/>
              <w:jc w:val="both"/>
            </w:pPr>
            <w:proofErr w:type="gramStart"/>
            <w:r w:rsidRPr="00F41BE3">
              <w:t>портфель проектов «Демография» - 422 820,5тыс. рублей, в том числе региональный проект «Спорт - норма жизни» - 422 820,5тыс. рублей</w:t>
            </w:r>
            <w:proofErr w:type="gramEnd"/>
          </w:p>
        </w:tc>
      </w:tr>
      <w:tr w:rsidR="00F41BE3" w:rsidRPr="00F41BE3" w14:paraId="5A5A9B9A" w14:textId="77777777" w:rsidTr="00241CF0">
        <w:tc>
          <w:tcPr>
            <w:tcW w:w="2637" w:type="dxa"/>
          </w:tcPr>
          <w:p w14:paraId="72E14741" w14:textId="77777777" w:rsidR="00806DCA" w:rsidRPr="00F41BE3" w:rsidRDefault="00806DCA" w:rsidP="00F337D5">
            <w:pPr>
              <w:pStyle w:val="ConsPlusNormal"/>
            </w:pPr>
            <w:r w:rsidRPr="00F41BE3">
              <w:t>Целевые показатели государственной программы</w:t>
            </w:r>
          </w:p>
        </w:tc>
        <w:tc>
          <w:tcPr>
            <w:tcW w:w="7145" w:type="dxa"/>
          </w:tcPr>
          <w:p w14:paraId="477789F0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1. Увеличение доли населения, систематически занимающегося физической культурой и спортом, в общей численности населения с 35,5% до 57,0%.</w:t>
            </w:r>
          </w:p>
          <w:p w14:paraId="4FF3A9CF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bookmarkStart w:id="1" w:name="_Hlk22027273"/>
            <w:r w:rsidRPr="00F41BE3">
              <w:t>2. Увеличение уровня обеспеченности граждан спортивными сооружениями исходя из единовременной пропускной способности объектов спорта с 40,1% до 46,5%.</w:t>
            </w:r>
          </w:p>
          <w:p w14:paraId="51C63A12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3. Увеличение доли граждан среднего возраста (женщины: 30 - 54 года; мужчины: 30 - 59 лет), систематически занимающихся физической культурой и спортом, в общей численности граждан среднего возраста с 21,6% до 52%.</w:t>
            </w:r>
          </w:p>
          <w:p w14:paraId="3CAEB681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4. Увеличение доли граждан старшего возраста (женщины: 55 - 79 лет; мужчины: 60 - 79 лет), систематически занимающихся физической культурой и спортом, в общей численности граждан старшего возраста с 5,2% до 15,1%.</w:t>
            </w:r>
          </w:p>
          <w:p w14:paraId="159C5745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5. Увеличение доли детей и молодежи (возраст 3 - 29 лет), систематически занимающихся физической культурой и спортом, в общей численности детей и молодежи с 77,2% до 86%.</w:t>
            </w:r>
          </w:p>
          <w:bookmarkEnd w:id="1"/>
          <w:p w14:paraId="29CCB4D4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6.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с 14,6% до 20,6%.</w:t>
            </w:r>
          </w:p>
          <w:p w14:paraId="2D41FCC9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>7. Увеличение доли граждан,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физкультурно-спортивного комплекса "Готов к труду и обороне" (ГТО), с 30% до 42,5%, из них учащихся и студентов - с 40% до 72,5%.</w:t>
            </w:r>
          </w:p>
          <w:p w14:paraId="578B87B4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 xml:space="preserve">8. Увеличение доли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</w:t>
            </w:r>
            <w:r w:rsidRPr="00F41BE3">
              <w:lastRenderedPageBreak/>
              <w:t>для лиц с ограниченными возможностями здоровья и инвалидов, с 81,8% до 100%.</w:t>
            </w:r>
          </w:p>
          <w:p w14:paraId="1EE1F8AF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 xml:space="preserve">9. </w:t>
            </w:r>
            <w:proofErr w:type="gramStart"/>
            <w:r w:rsidRPr="00F41BE3">
              <w:t>Увеличение доли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подготовку, с 24,8% до 27,5%.</w:t>
            </w:r>
            <w:proofErr w:type="gramEnd"/>
          </w:p>
          <w:p w14:paraId="5E0E0174" w14:textId="77777777" w:rsidR="00806DCA" w:rsidRPr="00F41BE3" w:rsidRDefault="00806DCA" w:rsidP="00F337D5">
            <w:pPr>
              <w:pStyle w:val="ConsPlusNormal"/>
              <w:ind w:firstLine="283"/>
              <w:jc w:val="both"/>
            </w:pPr>
            <w:r w:rsidRPr="00F41BE3">
              <w:t xml:space="preserve">10. </w:t>
            </w:r>
            <w:bookmarkStart w:id="2" w:name="_Hlk22027296"/>
            <w:proofErr w:type="gramStart"/>
            <w:r w:rsidRPr="00F41BE3">
              <w:t>Увеличение доли занимающихся по программам спортивной подготовки в организациях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 с 47,7% до 100%</w:t>
            </w:r>
            <w:bookmarkEnd w:id="2"/>
            <w:proofErr w:type="gramEnd"/>
          </w:p>
        </w:tc>
      </w:tr>
      <w:tr w:rsidR="00F41BE3" w:rsidRPr="00F41BE3" w14:paraId="27290F1A" w14:textId="77777777" w:rsidTr="00241CF0">
        <w:tc>
          <w:tcPr>
            <w:tcW w:w="2637" w:type="dxa"/>
          </w:tcPr>
          <w:p w14:paraId="2FC6479A" w14:textId="77777777" w:rsidR="00806DCA" w:rsidRPr="00F41BE3" w:rsidRDefault="00806DCA" w:rsidP="00F337D5">
            <w:pPr>
              <w:pStyle w:val="ConsPlusNormal"/>
            </w:pPr>
            <w:r w:rsidRPr="00F41BE3">
              <w:lastRenderedPageBreak/>
              <w:t>Сроки реализации государственной программы</w:t>
            </w:r>
          </w:p>
        </w:tc>
        <w:tc>
          <w:tcPr>
            <w:tcW w:w="7145" w:type="dxa"/>
          </w:tcPr>
          <w:p w14:paraId="64B5A287" w14:textId="77777777" w:rsidR="00806DCA" w:rsidRPr="00F41BE3" w:rsidRDefault="00806DCA" w:rsidP="00F337D5">
            <w:pPr>
              <w:pStyle w:val="ConsPlusNormal"/>
              <w:jc w:val="both"/>
            </w:pPr>
            <w:r w:rsidRPr="00F41BE3">
              <w:t>2019 - 2025 годы и период до 2030 года</w:t>
            </w:r>
          </w:p>
        </w:tc>
      </w:tr>
      <w:tr w:rsidR="00F41BE3" w:rsidRPr="00F41BE3" w14:paraId="3969D005" w14:textId="77777777" w:rsidTr="00241CF0">
        <w:tc>
          <w:tcPr>
            <w:tcW w:w="2637" w:type="dxa"/>
          </w:tcPr>
          <w:p w14:paraId="6D352E29" w14:textId="77777777" w:rsidR="00806DCA" w:rsidRPr="00F41BE3" w:rsidRDefault="00806DCA" w:rsidP="00F337D5">
            <w:pPr>
              <w:pStyle w:val="ConsPlusNormal"/>
            </w:pPr>
            <w:r w:rsidRPr="00F41BE3">
              <w:t>Параметры финансового обеспечения государственной программы</w:t>
            </w:r>
          </w:p>
        </w:tc>
        <w:tc>
          <w:tcPr>
            <w:tcW w:w="7145" w:type="dxa"/>
          </w:tcPr>
          <w:p w14:paraId="2C38D34E" w14:textId="0EDC43BD" w:rsidR="00806DCA" w:rsidRPr="00F41BE3" w:rsidRDefault="00806DCA" w:rsidP="00806DCA">
            <w:pPr>
              <w:pStyle w:val="ConsPlusNormal"/>
            </w:pPr>
            <w:r w:rsidRPr="00F41BE3">
              <w:t xml:space="preserve">общий объем финансирования государственной программы -  </w:t>
            </w:r>
            <w:r w:rsidR="007569B2">
              <w:t>54 629 637,2</w:t>
            </w:r>
            <w:r w:rsidRPr="00F41BE3">
              <w:t xml:space="preserve"> тыс. рублей, в том числе:</w:t>
            </w:r>
          </w:p>
          <w:p w14:paraId="1B0F2D48" w14:textId="61C5154A" w:rsidR="00806DCA" w:rsidRPr="00F41BE3" w:rsidRDefault="00806DCA" w:rsidP="00F337D5">
            <w:pPr>
              <w:pStyle w:val="ConsPlusNormal"/>
            </w:pPr>
            <w:r w:rsidRPr="00F41BE3">
              <w:t>2019 год - 7</w:t>
            </w:r>
            <w:r w:rsidR="007569B2">
              <w:t> 342 106,9</w:t>
            </w:r>
            <w:r w:rsidRPr="00F41BE3">
              <w:t xml:space="preserve"> тыс. рублей;</w:t>
            </w:r>
          </w:p>
          <w:p w14:paraId="3048E3BF" w14:textId="6989ED4B" w:rsidR="00806DCA" w:rsidRPr="00F41BE3" w:rsidRDefault="00806DCA" w:rsidP="00F337D5">
            <w:pPr>
              <w:pStyle w:val="ConsPlusNormal"/>
            </w:pPr>
            <w:r w:rsidRPr="00F41BE3">
              <w:t xml:space="preserve">2020 год </w:t>
            </w:r>
            <w:r w:rsidR="007569B2">
              <w:t>–</w:t>
            </w:r>
            <w:r w:rsidRPr="00F41BE3">
              <w:t xml:space="preserve"> </w:t>
            </w:r>
            <w:r w:rsidR="007569B2">
              <w:t>8 529 971,7</w:t>
            </w:r>
            <w:r w:rsidRPr="00F41BE3">
              <w:t xml:space="preserve"> тыс. рублей;</w:t>
            </w:r>
          </w:p>
          <w:p w14:paraId="7755DFE3" w14:textId="055CEBE5" w:rsidR="00806DCA" w:rsidRPr="00F41BE3" w:rsidRDefault="00806DCA" w:rsidP="00F337D5">
            <w:pPr>
              <w:pStyle w:val="ConsPlusNormal"/>
            </w:pPr>
            <w:r w:rsidRPr="00F41BE3">
              <w:t xml:space="preserve">2021 год </w:t>
            </w:r>
            <w:r w:rsidR="007569B2">
              <w:t>–</w:t>
            </w:r>
            <w:r w:rsidRPr="00F41BE3">
              <w:t xml:space="preserve"> </w:t>
            </w:r>
            <w:r w:rsidR="007569B2">
              <w:t>4 863 393,2</w:t>
            </w:r>
            <w:r w:rsidRPr="00F41BE3">
              <w:t>тыс. рублей;</w:t>
            </w:r>
          </w:p>
          <w:p w14:paraId="347B0EF0" w14:textId="57AB3885" w:rsidR="00806DCA" w:rsidRPr="00F41BE3" w:rsidRDefault="00806DCA" w:rsidP="00F337D5">
            <w:pPr>
              <w:pStyle w:val="ConsPlusNormal"/>
            </w:pPr>
            <w:r w:rsidRPr="00F41BE3">
              <w:t>2022 год - 3 794 968,4 тыс. рублей;</w:t>
            </w:r>
          </w:p>
          <w:p w14:paraId="6FF8D03F" w14:textId="5EA42553" w:rsidR="00806DCA" w:rsidRPr="00F41BE3" w:rsidRDefault="00806DCA" w:rsidP="00F337D5">
            <w:pPr>
              <w:pStyle w:val="ConsPlusNormal"/>
            </w:pPr>
            <w:r w:rsidRPr="00F41BE3">
              <w:t>2023 год - 3 780 133,0тыс. рублей;</w:t>
            </w:r>
          </w:p>
          <w:p w14:paraId="3759F088" w14:textId="5A38C747" w:rsidR="00806DCA" w:rsidRPr="00F41BE3" w:rsidRDefault="00806DCA" w:rsidP="00F337D5">
            <w:pPr>
              <w:pStyle w:val="ConsPlusNormal"/>
            </w:pPr>
            <w:r w:rsidRPr="00F41BE3">
              <w:t>2024 год - 3 780 133,0тыс. рублей</w:t>
            </w:r>
          </w:p>
          <w:p w14:paraId="106D5DC3" w14:textId="4F41DEBC" w:rsidR="00806DCA" w:rsidRPr="00F41BE3" w:rsidRDefault="00806DCA" w:rsidP="00F337D5">
            <w:pPr>
              <w:pStyle w:val="ConsPlusNormal"/>
            </w:pPr>
            <w:r w:rsidRPr="00F41BE3">
              <w:t>2025 год - 3 756 488,5 тыс. рублей;</w:t>
            </w:r>
          </w:p>
          <w:p w14:paraId="4EB2B8D6" w14:textId="2D0ABA60" w:rsidR="00806DCA" w:rsidRPr="00F41BE3" w:rsidRDefault="00806DCA" w:rsidP="00F337D5">
            <w:pPr>
              <w:pStyle w:val="ConsPlusNormal"/>
            </w:pPr>
            <w:r w:rsidRPr="00F41BE3">
              <w:t>2026 - 2030 годы - 18 782 442,5тыс. рублей</w:t>
            </w:r>
          </w:p>
        </w:tc>
      </w:tr>
    </w:tbl>
    <w:p w14:paraId="30E45228" w14:textId="77777777" w:rsidR="0019497A" w:rsidRPr="00F41BE3" w:rsidRDefault="0019497A">
      <w:pPr>
        <w:rPr>
          <w:rFonts w:ascii="Times New Roman" w:hAnsi="Times New Roman"/>
          <w:sz w:val="24"/>
          <w:szCs w:val="24"/>
        </w:rPr>
      </w:pPr>
    </w:p>
    <w:sectPr w:rsidR="0019497A" w:rsidRPr="00F41BE3" w:rsidSect="00EA77C3">
      <w:headerReference w:type="default" r:id="rId7"/>
      <w:pgSz w:w="11906" w:h="16838"/>
      <w:pgMar w:top="1134" w:right="850" w:bottom="1134" w:left="1701" w:header="708" w:footer="708" w:gutter="0"/>
      <w:pgNumType w:start="287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1751A" w14:textId="77777777" w:rsidR="00EA77C3" w:rsidRDefault="00EA77C3" w:rsidP="00EA77C3">
      <w:pPr>
        <w:spacing w:after="0" w:line="240" w:lineRule="auto"/>
      </w:pPr>
      <w:r>
        <w:separator/>
      </w:r>
    </w:p>
  </w:endnote>
  <w:endnote w:type="continuationSeparator" w:id="0">
    <w:p w14:paraId="2A81F147" w14:textId="77777777" w:rsidR="00EA77C3" w:rsidRDefault="00EA77C3" w:rsidP="00EA7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0C6E00" w14:textId="77777777" w:rsidR="00EA77C3" w:rsidRDefault="00EA77C3" w:rsidP="00EA77C3">
      <w:pPr>
        <w:spacing w:after="0" w:line="240" w:lineRule="auto"/>
      </w:pPr>
      <w:r>
        <w:separator/>
      </w:r>
    </w:p>
  </w:footnote>
  <w:footnote w:type="continuationSeparator" w:id="0">
    <w:p w14:paraId="30F524EC" w14:textId="77777777" w:rsidR="00EA77C3" w:rsidRDefault="00EA77C3" w:rsidP="00EA77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300002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4D14293" w14:textId="1C0E5E95" w:rsidR="00EA77C3" w:rsidRPr="00EA77C3" w:rsidRDefault="00EA77C3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EA77C3">
          <w:rPr>
            <w:rFonts w:ascii="Times New Roman" w:hAnsi="Times New Roman"/>
            <w:sz w:val="24"/>
            <w:szCs w:val="24"/>
          </w:rPr>
          <w:fldChar w:fldCharType="begin"/>
        </w:r>
        <w:r w:rsidRPr="00EA77C3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A77C3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2878</w:t>
        </w:r>
        <w:r w:rsidRPr="00EA77C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7A9319D0" w14:textId="77777777" w:rsidR="00EA77C3" w:rsidRDefault="00EA77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C9"/>
    <w:rsid w:val="0019497A"/>
    <w:rsid w:val="00241CF0"/>
    <w:rsid w:val="00305BC9"/>
    <w:rsid w:val="007569B2"/>
    <w:rsid w:val="00806DCA"/>
    <w:rsid w:val="00EA77C3"/>
    <w:rsid w:val="00F4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25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D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06D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A7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7C3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A7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77C3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DC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D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06D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EA7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77C3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EA7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77C3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884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Ольга Викторовна</dc:creator>
  <cp:keywords/>
  <dc:description/>
  <cp:lastModifiedBy>Шубная  Юлия  Петровна</cp:lastModifiedBy>
  <cp:revision>6</cp:revision>
  <dcterms:created xsi:type="dcterms:W3CDTF">2019-10-17T04:41:00Z</dcterms:created>
  <dcterms:modified xsi:type="dcterms:W3CDTF">2019-10-21T05:40:00Z</dcterms:modified>
</cp:coreProperties>
</file>